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  <w:jc w:val="center"/>
      </w:pPr>
      <w:r>
        <w:rPr>
          <w:rFonts w:ascii="黑体" w:hAnsi="黑体" w:hint="eastAsia" w:eastAsia="黑体" w:cs="黑体"/>
          <w:b/>
          <w:sz w:val="26"/>
          <w:color w:val="000000"/>
        </w:rPr>
        <w:t>祁东县星源粮食集团有限责任公司 · 智星源数字化平台</w:t>
        <w:br/>
      </w:r>
      <w:r>
        <w:rPr>
          <w:rFonts w:ascii="黑体" w:hAnsi="黑体" w:hint="eastAsia" w:eastAsia="黑体" w:cs="黑体"/>
          <w:b/>
          <w:sz w:val="36"/>
          <w:color w:val="000000"/>
        </w:rPr>
        <w:t>粮食竞价交易规则与竞买人法定要约承诺书</w:t>
      </w:r>
    </w:p>
    <w:p>
      <w:pPr>
        <w:spacing w:after="240"/>
        <w:jc w:val="center"/>
      </w:pPr>
      <w:r>
        <w:rPr>
          <w:rFonts w:ascii="宋体" w:hAnsi="宋体" w:hint="eastAsia" w:eastAsia="宋体" w:cs="宋体"/>
          <w:b w:val="0"/>
          <w:sz w:val="20"/>
          <w:color w:val="000000"/>
        </w:rPr>
        <w:t>（参照国家粮食交易中心标准编制 · 前台出价强制勾选与签署标准文本）</w:t>
      </w:r>
    </w:p>
    <w:p>
      <w:pPr>
        <w:spacing w:before="240" w:after="80"/>
      </w:pPr>
      <w:r>
        <w:rPr>
          <w:rFonts w:ascii="黑体" w:hAnsi="黑体" w:hint="eastAsia" w:eastAsia="黑体" w:cs="黑体"/>
          <w:b/>
          <w:sz w:val="26"/>
          <w:color w:val="000000"/>
        </w:rPr>
        <w:t>一、 总则与法律依据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1.1 法律依据：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本规则依据《中华人民共和国民法典》、《中华人民共和国拍卖法》、《粮食流通管理条例》及国家粮食交易中心、中储粮电子商务平台公认的粮油电子竞价交易规则制定，旨在规范粮食购销行为，保障国有资产处置及采购公开、公平、公正与诚实信用。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1.2 适用范围：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凡在“智星源”平台（包含 PC 端网站、手机 App 及微信小程序）参与粮食竞价销售（出让）或竞价采购（收购）的法人、非法人组织及自然人（统称“竞买人”），均须严格遵守本规则。</w:t>
      </w:r>
    </w:p>
    <w:p>
      <w:pPr>
        <w:spacing w:before="240" w:after="80"/>
      </w:pPr>
      <w:r>
        <w:rPr>
          <w:rFonts w:ascii="黑体" w:hAnsi="黑体" w:hint="eastAsia" w:eastAsia="黑体" w:cs="黑体"/>
          <w:b/>
          <w:sz w:val="26"/>
          <w:color w:val="000000"/>
        </w:rPr>
        <w:t>二、 竞买人资质与实名准入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2.1 实名认证：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参与竞买的用户必须通过平台企业实名认证或个人实名认证，提供真实有效的营业执照、法定代表人身份信息或个人身份凭证。严禁冒用他人名义、使用虚假资质或借用他人账户出价。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2.2 账户责任：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竞买人对其注册账户及密码安全承担全部法律责任。凡通过该账户在交易系统发出的一切操作与出价，均视为竞买人真实、不可撤销的法定商业行为。</w:t>
      </w:r>
    </w:p>
    <w:p>
      <w:pPr>
        <w:spacing w:before="240" w:after="80"/>
      </w:pPr>
      <w:r>
        <w:rPr>
          <w:rFonts w:ascii="黑体" w:hAnsi="黑体" w:hint="eastAsia" w:eastAsia="黑体" w:cs="黑体"/>
          <w:b/>
          <w:sz w:val="26"/>
          <w:color w:val="000000"/>
        </w:rPr>
        <w:t>三、 标的物说明与实物看样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3.1 指标基准：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标的物展示的品种、等级、生产年份、数量、存放库点、水分、杂质等指标为入库或阶段性抽检数据。出卖方对检验指标真实性负责。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3.2 看样原则：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竞买人在出价前享有向平台或承储库点申请实地看样的权利。竞买人一旦参与网上出价，即视为已完全了解并认可标的物实物现状及质量，自愿承担实物现状提货风险，成交后不得再以“未实地看样”或“质量存在轻微自然偏差”为由拒绝履约或要求折价。</w:t>
      </w:r>
    </w:p>
    <w:p>
      <w:pPr>
        <w:spacing w:before="240" w:after="80"/>
      </w:pPr>
      <w:r>
        <w:rPr>
          <w:rFonts w:ascii="黑体" w:hAnsi="黑体" w:hint="eastAsia" w:eastAsia="黑体" w:cs="黑体"/>
          <w:b/>
          <w:sz w:val="26"/>
          <w:color w:val="000000"/>
        </w:rPr>
        <w:t>四、 竞价交易机制与出价要约效力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4.1 交易模式：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销售竞价（加价模式）为底价递增、价高者得；采购竞价（降价模式）为限价递减、价低者得。加价或降价幅度严格按系统设定的阶梯步长（如 10元/吨、20元/吨等）规范递进。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4.2 法定要约：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依据《民法典》要约承诺机制，竞买人点击“确认出价”即构成向出卖方发出的具有法律效力的不可撤销商业要约。在更优出价产生前，出价人不得反悔、撤回或撤销该出价。严禁恶意竞价或串通操纵价格。</w:t>
      </w:r>
    </w:p>
    <w:p>
      <w:pPr>
        <w:spacing w:before="240" w:after="80"/>
      </w:pPr>
      <w:r>
        <w:rPr>
          <w:rFonts w:ascii="黑体" w:hAnsi="黑体" w:hint="eastAsia" w:eastAsia="黑体" w:cs="黑体"/>
          <w:b/>
          <w:sz w:val="26"/>
          <w:color w:val="000000"/>
        </w:rPr>
        <w:t>五、 成交认定与《成交确认单》法律效力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5.1 成交确定：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竞价倒计时归零时，系统根据“价格优先、时间优先”原则锁定的最优有效报价即为最终成交价，该出价人确认为中标人。系统瞬时固化成交数据并自动生成带有唯一防伪单号的《粮食竞价交易成交确认单》。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5.2 凭单效力：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最优出价被系统锁定的瞬时，买卖双方之间的购销合同依法正式成立。系统出具的电子《成交确认单》与纸质合同具备同等法定效力，直接作为企业财务入账、领导审批、开具出库单及司法仲裁的法定原始依据。</w:t>
      </w:r>
    </w:p>
    <w:p>
      <w:pPr>
        <w:spacing w:before="240" w:after="80"/>
      </w:pPr>
      <w:r>
        <w:rPr>
          <w:rFonts w:ascii="黑体" w:hAnsi="黑体" w:hint="eastAsia" w:eastAsia="黑体" w:cs="黑体"/>
          <w:b/>
          <w:sz w:val="26"/>
          <w:color w:val="000000"/>
        </w:rPr>
        <w:t>六、 货款结算与出库交割约定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6.1 结算期限：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实行“先款后货、按单结算”。买受人须在成交之日起 3 个工作日内，凭《成交确认单》将全额货款汇入出卖方（即发标所属集团本部或对应子公司）指定的官方银行对公结算账户，严禁资金混流跨账户支付。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6.2 提货交割：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买受人结清货款后，须在约定的提货期限内（常规 15 至 30 个自然日）自行安排合规车辆前往承储库点提货。出库计量以承储库检定合格的电子汽车地磅为准。逾期提货按 0.20元/吨/天 计收仓储保管损耗费。</w:t>
      </w:r>
    </w:p>
    <w:p>
      <w:pPr>
        <w:spacing w:before="240" w:after="80"/>
      </w:pPr>
      <w:r>
        <w:rPr>
          <w:rFonts w:ascii="黑体" w:hAnsi="黑体" w:hint="eastAsia" w:eastAsia="黑体" w:cs="黑体"/>
          <w:b/>
          <w:sz w:val="26"/>
          <w:color w:val="000000"/>
        </w:rPr>
        <w:t>七、 违约处理与追索机制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/>
          <w:sz w:val="21"/>
          <w:color w:val="000000"/>
        </w:rPr>
        <w:t>7.1 违约惩戒：</w:t>
      </w:r>
      <w:r>
        <w:rPr>
          <w:rFonts w:ascii="宋体" w:hAnsi="宋体" w:hint="eastAsia" w:eastAsia="宋体" w:cs="宋体"/>
          <w:b w:val="0"/>
          <w:sz w:val="21"/>
          <w:color w:val="000000"/>
        </w:rPr>
        <w:t>竞价成功后拒签确认单、未在规定时限内足额付款或拒不提货的，构成根本违约。出卖方有权没收全额交易保证金，并将标的重新挂牌拍卖。重新拍卖价格若低于原成交价，差额部分以及两次交易产生的全部交易手续费、仓储费、诉讼费和律师费，原买受人须依法全额补足赔偿，并列入国企交易黑名单。</w:t>
      </w:r>
    </w:p>
    <w:p>
      <w:pPr>
        <w:spacing w:before="240" w:after="80"/>
      </w:pPr>
      <w:r>
        <w:rPr>
          <w:rFonts w:ascii="黑体" w:hAnsi="黑体" w:hint="eastAsia" w:eastAsia="黑体" w:cs="黑体"/>
          <w:b/>
          <w:sz w:val="26"/>
          <w:color w:val="000000"/>
        </w:rPr>
        <w:t>八、 竞买人法定要约承诺书（系统确认函与签署样本）</w:t>
      </w:r>
    </w:p>
    <w:p>
      <w:pPr>
        <w:spacing w:after="80" w:line="300" w:lineRule="auto"/>
      </w:pPr>
      <w:r>
        <w:rPr>
          <w:rFonts w:ascii="宋体" w:hAnsi="宋体" w:hint="eastAsia" w:eastAsia="宋体" w:cs="宋体"/>
          <w:b w:val="0"/>
          <w:sz w:val="21"/>
          <w:color w:val="000000"/>
        </w:rPr>
        <w:t>系统在竞买人首次参与出价前，必须弹出此承诺框，用户必须强制勾选后方可提交报价：</w:t>
      </w:r>
    </w:p>
    <w:tbl>
      <w:tblPr>
        <w:tblW w:type="dxa" w:w="9605"/>
        <w:jc w:val="center"/>
        <w:tblLook w:firstColumn="1" w:firstRow="1" w:lastColumn="0" w:lastRow="0" w:noHBand="0" w:noVBand="1" w:val="04A0"/>
        <w:tblInd w:w="0" w:type="dxa"/>
      </w:tblPr>
      <w:tblGrid>
        <w:gridCol w:w="9605"/>
      </w:tblGrid>
      <w:tr>
        <w:tc>
          <w:tcPr>
            <w:tcW w:type="dxa" w:w="9605"/>
            <w:shd w:fill="F9FAFB"/>
          </w:tcPr>
          <w:p>
            <w:pPr>
              <w:spacing w:before="120" w:after="120" w:line="300" w:lineRule="auto"/>
            </w:pPr>
            <w:r>
              <w:rPr>
                <w:rFonts w:ascii="黑体" w:hAnsi="黑体" w:hint="eastAsia" w:eastAsia="黑体" w:cs="黑体"/>
                <w:b/>
                <w:sz w:val="22"/>
                <w:color w:val="000000"/>
              </w:rPr>
              <w:t>【竞买人法定要约承诺书（出价前必选与签署格式）】</w:t>
              <w:br/>
              <w:br/>
            </w:r>
            <w:r>
              <w:rPr>
                <w:rFonts w:ascii="宋体" w:hAnsi="宋体" w:hint="eastAsia" w:eastAsia="宋体" w:cs="宋体"/>
                <w:b w:val="0"/>
                <w:sz w:val="20"/>
                <w:color w:val="000000"/>
              </w:rPr>
              <w:t>本人/本企业已认真阅读并完全理解《智星源平台粮食竞价交易规则》。本人郑重确认并承诺：</w:t>
              <w:br/>
              <w:t>1. 本账号在智星源系统提交的一切出价，均为我方不可撤销、不可撤回的真实法定商业要约；</w:t>
              <w:br/>
              <w:t>2. 竞价截止一旦中标，我方自愿受最终成交价及成交数量约束，保证在 3 个工作日内足额结清货款、按期提货履约，并无条件认可系统出具的《成交确认单》法定效力；</w:t>
              <w:br/>
              <w:t>3. 如有竞后毁约、逾期付款、恶意扰乱竞价秩序之行为，我方愿承担没收全额保证金、全额补足标的重新拍卖差价及一切相关经济损失与法律责任。</w:t>
              <w:br/>
              <w:br/>
              <w:t>☑ [ 我已仔细阅读并自愿承诺遵守上述规则与要约承诺 ]</w:t>
              <w:br/>
              <w:br/>
              <w:t>承诺人（盖章/签字）：____________________        签署日期：2026年____月____日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